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5C480" w14:textId="6941BA54" w:rsidR="00951C75" w:rsidRPr="0049755C" w:rsidRDefault="00951C75" w:rsidP="00951C75">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#100</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Pr>
          <w:rFonts w:ascii="Arial" w:hAnsi="Arial" w:cs="Arial"/>
          <w:b/>
          <w:sz w:val="24"/>
          <w:lang w:val="en-GB"/>
        </w:rPr>
        <w:t>R3-18</w:t>
      </w:r>
      <w:r>
        <w:rPr>
          <w:rFonts w:ascii="Arial" w:hAnsi="Arial" w:cs="Arial"/>
          <w:b/>
          <w:sz w:val="24"/>
          <w:lang w:val="en-GB"/>
        </w:rPr>
        <w:t>3191</w:t>
      </w:r>
    </w:p>
    <w:p w14:paraId="57673FA3" w14:textId="5150221D" w:rsidR="00616831" w:rsidRPr="0049755C" w:rsidRDefault="00951C75" w:rsidP="00951C75">
      <w:pPr>
        <w:pStyle w:val="TdocHeader2"/>
        <w:tabs>
          <w:tab w:val="clear" w:pos="9072"/>
          <w:tab w:val="right" w:pos="9720"/>
        </w:tabs>
        <w:rPr>
          <w:rFonts w:eastAsia="Malgun Gothic" w:cs="Arial"/>
          <w:sz w:val="24"/>
          <w:lang w:val="en-US" w:eastAsia="ko-KR"/>
        </w:rPr>
      </w:pPr>
      <w:r w:rsidRPr="00A362D0">
        <w:rPr>
          <w:rFonts w:eastAsia="Malgun Gothic" w:cs="Arial"/>
          <w:sz w:val="24"/>
          <w:lang w:val="en-US" w:eastAsia="ko-KR"/>
        </w:rPr>
        <w:t>Busan, Korea, 21st - 25th May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79AE4C3"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951C75">
        <w:rPr>
          <w:sz w:val="24"/>
        </w:rPr>
        <w:t>IAB node configuration and network integration</w:t>
      </w:r>
    </w:p>
    <w:p w14:paraId="08AD6C06" w14:textId="29F6D6F2" w:rsidR="00D52BF3" w:rsidRPr="00B208AD" w:rsidRDefault="00D52BF3" w:rsidP="00700F24">
      <w:pPr>
        <w:pStyle w:val="TdocHeader2"/>
        <w:spacing w:after="120"/>
        <w:rPr>
          <w:sz w:val="24"/>
        </w:rPr>
      </w:pPr>
      <w:r w:rsidRPr="00B208AD">
        <w:rPr>
          <w:sz w:val="24"/>
        </w:rPr>
        <w:t>Agenda Item:</w:t>
      </w:r>
      <w:r w:rsidRPr="00B208AD">
        <w:rPr>
          <w:sz w:val="24"/>
        </w:rPr>
        <w:tab/>
      </w:r>
      <w:r w:rsidR="004C1261">
        <w:rPr>
          <w:bCs/>
          <w:iCs/>
          <w:sz w:val="24"/>
        </w:rPr>
        <w:t>24.2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68004B61" w:rsidR="006F1AB8" w:rsidRDefault="00896663" w:rsidP="00D11AD9">
      <w:pPr>
        <w:rPr>
          <w:lang w:val="en-GB"/>
        </w:rPr>
      </w:pPr>
      <w:r>
        <w:rPr>
          <w:lang w:val="en-GB"/>
        </w:rPr>
        <w:t>This contrib</w:t>
      </w:r>
      <w:r w:rsidR="003B6E4C">
        <w:rPr>
          <w:lang w:val="en-GB"/>
        </w:rPr>
        <w:t>ution gives and</w:t>
      </w:r>
      <w:r w:rsidR="003B6E4C" w:rsidRPr="003B6E4C">
        <w:rPr>
          <w:lang w:val="en-GB"/>
        </w:rPr>
        <w:t xml:space="preserve"> overview </w:t>
      </w:r>
      <w:r w:rsidR="003B6E4C">
        <w:rPr>
          <w:lang w:val="en-GB"/>
        </w:rPr>
        <w:t xml:space="preserve">and discusses requirements </w:t>
      </w:r>
      <w:r w:rsidR="003B6E4C" w:rsidRPr="003B6E4C">
        <w:rPr>
          <w:lang w:val="en-GB"/>
        </w:rPr>
        <w:t>of node discovery and route selection/management for IAB</w:t>
      </w:r>
      <w:r w:rsidR="00FC2F10">
        <w:rPr>
          <w:lang w:val="en-GB"/>
        </w:rPr>
        <w:t>.</w:t>
      </w:r>
    </w:p>
    <w:p w14:paraId="3910AB39" w14:textId="5E321AB4" w:rsidR="006F1AB8" w:rsidRDefault="00C528CF" w:rsidP="00C26A7D">
      <w:pPr>
        <w:pStyle w:val="Heading1"/>
      </w:pPr>
      <w:r>
        <w:t xml:space="preserve">IAB </w:t>
      </w:r>
      <w:r w:rsidR="00AD273C">
        <w:t xml:space="preserve">Node </w:t>
      </w:r>
      <w:r w:rsidR="00951C75">
        <w:t>Configuration and Topology Formation</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7CE3137F">
            <wp:extent cx="5912849" cy="219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7391" cy="221095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1850583"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Three key components of the tight interworking for IAB are topology management, route management, and frame structure and s</w:t>
      </w:r>
      <w:r w:rsidR="00137D8A">
        <w:rPr>
          <w:rFonts w:asciiTheme="minorHAnsi" w:eastAsia="SimSun" w:hAnsiTheme="minorHAnsi"/>
          <w:sz w:val="22"/>
          <w:szCs w:val="20"/>
          <w:lang w:val="en-GB"/>
        </w:rPr>
        <w:t>cheduling as shown in Figure 2.</w:t>
      </w:r>
    </w:p>
    <w:p w14:paraId="58C4D0A4" w14:textId="77777777" w:rsidR="00137D8A" w:rsidRDefault="00137D8A"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37313594"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Topology management includes the following characteristics: 1) happens on long time scales, 2) manages static hop order, 3) handles initial access of relay nodes, and 4) changes every time a node is added or removed. On the other hand route management happens at a much faster time scale (e.g. happens over 10s or 100s of </w:t>
      </w:r>
      <w:proofErr w:type="spellStart"/>
      <w:r w:rsidRPr="008226E4">
        <w:rPr>
          <w:rFonts w:asciiTheme="minorHAnsi" w:eastAsia="SimSun" w:hAnsiTheme="minorHAnsi"/>
          <w:sz w:val="22"/>
          <w:szCs w:val="20"/>
          <w:lang w:val="en-GB"/>
        </w:rPr>
        <w:t>ms</w:t>
      </w:r>
      <w:proofErr w:type="spellEnd"/>
      <w:r w:rsidRPr="008226E4">
        <w:rPr>
          <w:rFonts w:asciiTheme="minorHAnsi" w:eastAsia="SimSun" w:hAnsiTheme="minorHAnsi"/>
          <w:sz w:val="22"/>
          <w:szCs w:val="20"/>
          <w:lang w:val="en-GB"/>
        </w:rPr>
        <w:t>)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epending on the network architecture, the scheduling of backhaul links may be performed by a central node (e.g. an aggregation point) or may be distributed across multiple nodes, requiring coordination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5B249C96" w14:textId="77777777" w:rsidR="00137D8A" w:rsidRDefault="00137D8A" w:rsidP="00C906C3">
      <w:pPr>
        <w:pStyle w:val="BodyText"/>
        <w:rPr>
          <w:rFonts w:asciiTheme="minorHAnsi" w:eastAsia="SimSun" w:hAnsiTheme="minorHAnsi"/>
          <w:sz w:val="22"/>
          <w:szCs w:val="20"/>
          <w:lang w:val="en-GB"/>
        </w:rPr>
      </w:pPr>
    </w:p>
    <w:p w14:paraId="64D7A02F" w14:textId="681E1DCA" w:rsidR="00C906C3" w:rsidRDefault="00A64511"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The remaining sections discuss architecture implications of supporting various aspects of </w:t>
      </w:r>
      <w:r w:rsidR="00951C75">
        <w:rPr>
          <w:rFonts w:asciiTheme="minorHAnsi" w:eastAsia="SimSun" w:hAnsiTheme="minorHAnsi"/>
          <w:sz w:val="22"/>
          <w:szCs w:val="20"/>
          <w:lang w:val="en-GB"/>
        </w:rPr>
        <w:t>IAB node configuration, network integration, and topology formation</w:t>
      </w:r>
      <w:r>
        <w:rPr>
          <w:rFonts w:asciiTheme="minorHAnsi" w:eastAsia="SimSun" w:hAnsiTheme="minorHAnsi"/>
          <w:sz w:val="22"/>
          <w:szCs w:val="20"/>
          <w:lang w:val="en-GB"/>
        </w:rPr>
        <w:t>.</w:t>
      </w:r>
    </w:p>
    <w:p w14:paraId="75E13113" w14:textId="77777777" w:rsidR="00137D8A" w:rsidRDefault="00137D8A" w:rsidP="00C906C3">
      <w:pPr>
        <w:pStyle w:val="BodyText"/>
        <w:rPr>
          <w:rFonts w:asciiTheme="minorHAnsi" w:eastAsia="SimSun" w:hAnsiTheme="minorHAnsi"/>
          <w:sz w:val="22"/>
          <w:szCs w:val="20"/>
          <w:lang w:val="en-GB"/>
        </w:rPr>
      </w:pPr>
    </w:p>
    <w:p w14:paraId="3D04645F" w14:textId="2636A6BB" w:rsidR="00C906C3" w:rsidRDefault="00C906C3" w:rsidP="00C906C3">
      <w:pPr>
        <w:pStyle w:val="Heading2"/>
      </w:pPr>
      <w:r>
        <w:t>IAB Node Discovery</w:t>
      </w:r>
      <w:r w:rsidR="00951C75">
        <w:t xml:space="preserve"> and </w:t>
      </w:r>
      <w:r w:rsidR="00633429">
        <w:t>Configuration</w:t>
      </w:r>
    </w:p>
    <w:p w14:paraId="7E6B5713" w14:textId="19A7169F" w:rsidR="00A64511" w:rsidRDefault="00A64511" w:rsidP="00A64511">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Besides supporting synchronization and cell discovery for links between </w:t>
      </w:r>
      <w:proofErr w:type="spellStart"/>
      <w:r w:rsidRPr="00AD273C">
        <w:rPr>
          <w:rFonts w:asciiTheme="minorHAnsi" w:eastAsia="SimSun" w:hAnsiTheme="minorHAnsi"/>
          <w:sz w:val="22"/>
          <w:szCs w:val="20"/>
          <w:lang w:val="en-GB"/>
        </w:rPr>
        <w:t>gNBs</w:t>
      </w:r>
      <w:proofErr w:type="spellEnd"/>
      <w:r w:rsidRPr="00AD273C">
        <w:rPr>
          <w:rFonts w:asciiTheme="minorHAnsi" w:eastAsia="SimSun" w:hAnsiTheme="minorHAnsi"/>
          <w:sz w:val="22"/>
          <w:szCs w:val="20"/>
          <w:lang w:val="en-GB"/>
        </w:rPr>
        <w:t xml:space="preserve"> and UEs, NR should support also support link establishm</w:t>
      </w:r>
      <w:r>
        <w:rPr>
          <w:rFonts w:asciiTheme="minorHAnsi" w:eastAsia="SimSun" w:hAnsiTheme="minorHAnsi"/>
          <w:sz w:val="22"/>
          <w:szCs w:val="20"/>
          <w:lang w:val="en-GB"/>
        </w:rPr>
        <w:t>ent and maintenance between IAB-nodes</w:t>
      </w:r>
      <w:r w:rsidRPr="00AD273C">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Since the deployment of IAB nodes may vary over time as network densification takes place, self-discovery and self-configuration of IAB-nodes is important for simplifying network management and increasing deployment flexibility.  </w:t>
      </w:r>
    </w:p>
    <w:p w14:paraId="61EEAD57" w14:textId="6B9FC6E5" w:rsidR="00A64511" w:rsidRDefault="00A64511" w:rsidP="00A64511">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7176343C" w14:textId="77777777" w:rsidR="00137D8A" w:rsidRPr="0031677E" w:rsidRDefault="00137D8A" w:rsidP="00A64511">
      <w:pPr>
        <w:pStyle w:val="BodyText"/>
        <w:rPr>
          <w:rFonts w:asciiTheme="minorHAnsi" w:eastAsia="SimSun" w:hAnsiTheme="minorHAnsi"/>
          <w:b/>
          <w:sz w:val="22"/>
          <w:szCs w:val="20"/>
          <w:lang w:val="en-GB"/>
        </w:rPr>
      </w:pPr>
    </w:p>
    <w:p w14:paraId="4AA45A3D" w14:textId="65D6624A" w:rsidR="0024488E"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One straightforward way to support this requirement is to use the same physical layer signals and channels for performing initial access, link management (e.g. RRM/RLM), and other basic procedures for connection setup/reconfiguration</w:t>
      </w:r>
      <w:r w:rsidRPr="00AD273C">
        <w:rPr>
          <w:rFonts w:asciiTheme="minorHAnsi" w:eastAsia="SimSun" w:hAnsiTheme="minorHAnsi"/>
          <w:sz w:val="22"/>
          <w:szCs w:val="20"/>
          <w:lang w:val="en-GB"/>
        </w:rPr>
        <w:t>.</w:t>
      </w:r>
      <w:r>
        <w:rPr>
          <w:rFonts w:asciiTheme="minorHAnsi" w:eastAsia="SimSun" w:hAnsiTheme="minorHAnsi"/>
          <w:sz w:val="22"/>
          <w:szCs w:val="20"/>
          <w:lang w:val="en-GB"/>
        </w:rPr>
        <w:t xml:space="preserve"> For example, each IAB node could be considered to have both DU functionality as well as UE functionality</w:t>
      </w:r>
      <w:r w:rsidR="0024488E">
        <w:rPr>
          <w:rFonts w:asciiTheme="minorHAnsi" w:eastAsia="SimSun" w:hAnsiTheme="minorHAnsi"/>
          <w:sz w:val="22"/>
          <w:szCs w:val="20"/>
          <w:lang w:val="en-GB"/>
        </w:rPr>
        <w:t xml:space="preserve">. The relay UE is connected to a donor </w:t>
      </w:r>
      <w:proofErr w:type="spellStart"/>
      <w:r w:rsidR="0024488E">
        <w:rPr>
          <w:rFonts w:asciiTheme="minorHAnsi" w:eastAsia="SimSun" w:hAnsiTheme="minorHAnsi"/>
          <w:sz w:val="22"/>
          <w:szCs w:val="20"/>
          <w:lang w:val="en-GB"/>
        </w:rPr>
        <w:t>gNB</w:t>
      </w:r>
      <w:proofErr w:type="spellEnd"/>
      <w:r w:rsidR="0024488E">
        <w:rPr>
          <w:rFonts w:asciiTheme="minorHAnsi" w:eastAsia="SimSun" w:hAnsiTheme="minorHAnsi"/>
          <w:sz w:val="22"/>
          <w:szCs w:val="20"/>
          <w:lang w:val="en-GB"/>
        </w:rPr>
        <w:t xml:space="preserve"> or DU of a higher hop order, while the relay DU serves relay UEs inside IAB nodes of lower hop orders or its own access UEs. As part of initial connection </w:t>
      </w:r>
      <w:r w:rsidR="00052933">
        <w:rPr>
          <w:rFonts w:asciiTheme="minorHAnsi" w:eastAsia="SimSun" w:hAnsiTheme="minorHAnsi"/>
          <w:sz w:val="22"/>
          <w:szCs w:val="20"/>
          <w:lang w:val="en-GB"/>
        </w:rPr>
        <w:t>establishment</w:t>
      </w:r>
      <w:r w:rsidR="0024488E">
        <w:rPr>
          <w:rFonts w:asciiTheme="minorHAnsi" w:eastAsia="SimSun" w:hAnsiTheme="minorHAnsi"/>
          <w:sz w:val="22"/>
          <w:szCs w:val="20"/>
          <w:lang w:val="en-GB"/>
        </w:rPr>
        <w:t xml:space="preserve"> it is expected that the network would become awar</w:t>
      </w:r>
      <w:r w:rsidR="00052933">
        <w:rPr>
          <w:rFonts w:asciiTheme="minorHAnsi" w:eastAsia="SimSun" w:hAnsiTheme="minorHAnsi"/>
          <w:sz w:val="22"/>
          <w:szCs w:val="20"/>
          <w:lang w:val="en-GB"/>
        </w:rPr>
        <w:t>e that a relay UE corresponds to a given IAB node and is not a normal access UE. This would then allow the network to begin the provisioning and setup of the relay DU and incorporate the relay into the backhaul network topology and set up routing functionality as well.</w:t>
      </w:r>
    </w:p>
    <w:p w14:paraId="501D806F" w14:textId="7C651273" w:rsidR="0024488E" w:rsidRDefault="0024488E" w:rsidP="00A32002">
      <w:pPr>
        <w:pStyle w:val="BodyText"/>
        <w:jc w:val="center"/>
        <w:rPr>
          <w:rFonts w:asciiTheme="minorHAnsi" w:eastAsia="SimSun" w:hAnsiTheme="minorHAnsi"/>
          <w:sz w:val="22"/>
          <w:szCs w:val="20"/>
          <w:lang w:val="en-GB"/>
        </w:rPr>
      </w:pPr>
    </w:p>
    <w:p w14:paraId="3EA0EB8A" w14:textId="6DA01D80" w:rsidR="00951C75" w:rsidRDefault="00951C75" w:rsidP="00951C75">
      <w:pPr>
        <w:jc w:val="both"/>
        <w:rPr>
          <w:szCs w:val="22"/>
        </w:rPr>
      </w:pPr>
      <w:r>
        <w:rPr>
          <w:szCs w:val="22"/>
        </w:rPr>
        <w:lastRenderedPageBreak/>
        <w:t>As noted in the agreements from RAN3#99, the d</w:t>
      </w:r>
      <w:r w:rsidRPr="0078745F">
        <w:rPr>
          <w:szCs w:val="22"/>
        </w:rPr>
        <w:t xml:space="preserve">etails of IAB node setup procedures under the </w:t>
      </w:r>
      <w:r>
        <w:rPr>
          <w:szCs w:val="22"/>
        </w:rPr>
        <w:t>either EPC or NGC</w:t>
      </w:r>
      <w:r w:rsidRPr="0078745F">
        <w:rPr>
          <w:szCs w:val="22"/>
        </w:rPr>
        <w:t xml:space="preserve"> network cases </w:t>
      </w:r>
      <w:r>
        <w:rPr>
          <w:szCs w:val="22"/>
        </w:rPr>
        <w:t>is</w:t>
      </w:r>
      <w:r w:rsidRPr="0078745F">
        <w:rPr>
          <w:szCs w:val="22"/>
        </w:rPr>
        <w:t xml:space="preserve"> FFS.</w:t>
      </w:r>
      <w:r>
        <w:rPr>
          <w:szCs w:val="22"/>
        </w:rPr>
        <w:t xml:space="preserve"> </w:t>
      </w:r>
      <w:r w:rsidRPr="00D71D00">
        <w:rPr>
          <w:szCs w:val="22"/>
        </w:rPr>
        <w:t>IAB n</w:t>
      </w:r>
      <w:r>
        <w:rPr>
          <w:szCs w:val="22"/>
        </w:rPr>
        <w:t>odes</w:t>
      </w:r>
      <w:r w:rsidRPr="00D71D00">
        <w:rPr>
          <w:szCs w:val="22"/>
        </w:rPr>
        <w:t xml:space="preserve"> need a mechanism for performing initial access in order to set up connectivity between nodes </w:t>
      </w:r>
      <w:r>
        <w:rPr>
          <w:szCs w:val="22"/>
        </w:rPr>
        <w:t>depending on the relay topology</w:t>
      </w:r>
      <w:r w:rsidRPr="00D71D00">
        <w:rPr>
          <w:szCs w:val="22"/>
        </w:rPr>
        <w:t xml:space="preserve">. </w:t>
      </w:r>
      <w:r>
        <w:rPr>
          <w:szCs w:val="22"/>
        </w:rPr>
        <w:t>If the IAB nodes have UE functionality, they</w:t>
      </w:r>
      <w:r w:rsidRPr="00D71D00">
        <w:rPr>
          <w:szCs w:val="22"/>
        </w:rPr>
        <w:t xml:space="preserve"> can perform synchronization/random access using the same signals and channels</w:t>
      </w:r>
      <w:r>
        <w:rPr>
          <w:szCs w:val="22"/>
        </w:rPr>
        <w:t xml:space="preserve"> as access UEs with a common framework. This can also be extended to support topology/route adaptation with existing mobility or dual/multi-connectivity procedures if the UE-function of the relay remains in RRC CONNECTED mode after initial IAB node discovery/relay setup is completed.</w:t>
      </w:r>
    </w:p>
    <w:p w14:paraId="3E78DDFB" w14:textId="10519500" w:rsidR="00951C75" w:rsidRDefault="00951C75" w:rsidP="00951C75">
      <w:pPr>
        <w:jc w:val="both"/>
        <w:rPr>
          <w:szCs w:val="22"/>
        </w:rPr>
      </w:pPr>
      <w:r>
        <w:rPr>
          <w:szCs w:val="22"/>
        </w:rPr>
        <w:t>Given the potentially enhanced processing and hardware capabilities of IAB nodes,</w:t>
      </w:r>
      <w:r w:rsidRPr="00D71D00">
        <w:rPr>
          <w:szCs w:val="22"/>
        </w:rPr>
        <w:t xml:space="preserve"> </w:t>
      </w:r>
      <w:r>
        <w:rPr>
          <w:szCs w:val="22"/>
        </w:rPr>
        <w:t>the configuration of physical and higher layer parameters may be optimized as well as introducing the configuration of parameters related to initial access and resource allocation</w:t>
      </w:r>
      <w:r w:rsidR="00137D8A">
        <w:rPr>
          <w:szCs w:val="22"/>
        </w:rPr>
        <w:t xml:space="preserve"> specific for IAB</w:t>
      </w:r>
      <w:r>
        <w:rPr>
          <w:szCs w:val="22"/>
        </w:rPr>
        <w:t xml:space="preserve">. </w:t>
      </w:r>
    </w:p>
    <w:p w14:paraId="3DE8BFA6" w14:textId="27566B84" w:rsidR="00951C75" w:rsidRDefault="00951C75" w:rsidP="00951C75">
      <w:pPr>
        <w:jc w:val="both"/>
        <w:rPr>
          <w:b/>
          <w:szCs w:val="22"/>
        </w:rPr>
      </w:pPr>
      <w:r w:rsidRPr="000E1C7E">
        <w:rPr>
          <w:b/>
          <w:szCs w:val="22"/>
        </w:rPr>
        <w:t xml:space="preserve">Proposal </w:t>
      </w:r>
      <w:r>
        <w:rPr>
          <w:b/>
          <w:szCs w:val="22"/>
        </w:rPr>
        <w:t>3</w:t>
      </w:r>
      <w:r w:rsidRPr="000E1C7E">
        <w:rPr>
          <w:b/>
          <w:szCs w:val="22"/>
        </w:rPr>
        <w:t>: For both NSA and SA cases, the IAB node acts as a regular UE during initial connection and establishment and maintains connectivity as a UE in order to perform route switching and reconfiguration using CONNECTED mode UE procedures.</w:t>
      </w:r>
    </w:p>
    <w:p w14:paraId="79808DC0" w14:textId="52B9CD43" w:rsidR="00C906C3" w:rsidRDefault="00C906C3" w:rsidP="00C906C3">
      <w:pPr>
        <w:pStyle w:val="Heading2"/>
      </w:pPr>
      <w:r>
        <w:t>IAB Topology Management</w:t>
      </w:r>
    </w:p>
    <w:p w14:paraId="4058B4FD" w14:textId="20838D95" w:rsidR="00633429" w:rsidRPr="00C76C87" w:rsidRDefault="00004550" w:rsidP="00137D8A">
      <w:pPr>
        <w:jc w:val="both"/>
        <w:rPr>
          <w:lang w:val="en-GB"/>
        </w:rPr>
      </w:pPr>
      <w:r w:rsidRPr="00F13188">
        <w:rPr>
          <w:lang w:val="en-GB"/>
        </w:rPr>
        <w:t xml:space="preserve">For densely deployed mmWave NR systems, the area covered by an NR node can be quite small, so a dense deployment of NR nodes in a given area could require a significantly larger number of deployment sites. </w:t>
      </w:r>
      <w:r w:rsidR="00633429" w:rsidRPr="008226E4">
        <w:rPr>
          <w:lang w:val="en-GB"/>
        </w:rPr>
        <w:t xml:space="preserve">As a result, </w:t>
      </w:r>
      <w:r w:rsidR="00633429">
        <w:rPr>
          <w:lang w:val="en-GB"/>
        </w:rPr>
        <w:t xml:space="preserve">in addition to the ability to performing route switching within a given topology, </w:t>
      </w:r>
      <w:r w:rsidR="00633429" w:rsidRPr="008226E4">
        <w:rPr>
          <w:lang w:val="en-GB"/>
        </w:rPr>
        <w:t xml:space="preserve">multi-connectivity is a critical feature to support robustness and fast route selection in case of blockage </w:t>
      </w:r>
      <w:r w:rsidR="00137D8A">
        <w:rPr>
          <w:lang w:val="en-GB"/>
        </w:rPr>
        <w:t>events</w:t>
      </w:r>
      <w:r w:rsidR="00633429" w:rsidRPr="008226E4">
        <w:rPr>
          <w:lang w:val="en-GB"/>
        </w:rPr>
        <w:t xml:space="preserve"> as shown in Figure </w:t>
      </w:r>
      <w:r w:rsidR="00137D8A">
        <w:rPr>
          <w:lang w:val="en-GB"/>
        </w:rPr>
        <w:t>3.</w:t>
      </w:r>
    </w:p>
    <w:p w14:paraId="672ACC0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FE32879" w14:textId="77777777" w:rsidR="00A64511" w:rsidRDefault="00A64511" w:rsidP="00A64511">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1D189386" wp14:editId="4CF2C010">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14:paraId="78949FAB" w14:textId="6323ABAB" w:rsidR="00A64511" w:rsidRPr="00D25F6D" w:rsidRDefault="00A64511" w:rsidP="00A64511">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137D8A">
        <w:rPr>
          <w:rFonts w:asciiTheme="minorHAnsi" w:eastAsia="SimSun" w:hAnsiTheme="minorHAnsi"/>
          <w:b/>
          <w:sz w:val="22"/>
          <w:szCs w:val="20"/>
        </w:rPr>
        <w:t>3</w:t>
      </w:r>
      <w:r>
        <w:rPr>
          <w:rFonts w:asciiTheme="minorHAnsi" w:eastAsia="SimSun" w:hAnsiTheme="minorHAnsi"/>
          <w:b/>
          <w:sz w:val="22"/>
          <w:szCs w:val="20"/>
        </w:rPr>
        <w:t>: Multi-connectivity for IAB</w:t>
      </w:r>
    </w:p>
    <w:p w14:paraId="78BE4AB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595F6A8" w14:textId="77777777" w:rsidR="00137D8A" w:rsidRDefault="00137D8A" w:rsidP="00137D8A">
      <w:pPr>
        <w:jc w:val="both"/>
      </w:pPr>
      <w:r>
        <w:rPr>
          <w:lang w:val="en-GB"/>
        </w:rPr>
        <w:t>R</w:t>
      </w:r>
      <w:r w:rsidRPr="00C76C87">
        <w:rPr>
          <w:lang w:val="en-GB"/>
        </w:rPr>
        <w:t>oute</w:t>
      </w:r>
      <w:r>
        <w:rPr>
          <w:lang w:val="en-GB"/>
        </w:rPr>
        <w:t xml:space="preserve"> adaptation depends on </w:t>
      </w:r>
      <w:r w:rsidRPr="00C76C87">
        <w:rPr>
          <w:lang w:val="en-GB"/>
        </w:rPr>
        <w:t>multiple</w:t>
      </w:r>
      <w:r>
        <w:rPr>
          <w:lang w:val="en-GB"/>
        </w:rPr>
        <w:t xml:space="preserve"> factors such as load</w:t>
      </w:r>
      <w:r w:rsidRPr="00C76C87">
        <w:rPr>
          <w:lang w:val="en-GB"/>
        </w:rPr>
        <w:t xml:space="preserve"> and propagation variations (e.g. blockage events). </w:t>
      </w:r>
      <w:r>
        <w:t>Utilization of fast centralized retransmissions of lost RLC PDUs which are supported by NR [2] may be performed across different multi-connectivity legs may be one solution to quickly recover from failed transmissions</w:t>
      </w:r>
      <w:r>
        <w:t>.</w:t>
      </w:r>
    </w:p>
    <w:p w14:paraId="65698B79" w14:textId="452466AB" w:rsidR="00A64511" w:rsidRDefault="00A64511" w:rsidP="00137D8A">
      <w:pPr>
        <w:jc w:val="both"/>
        <w:rPr>
          <w:b/>
        </w:rPr>
      </w:pPr>
      <w:r>
        <w:rPr>
          <w:b/>
        </w:rPr>
        <w:t xml:space="preserve">Proposal </w:t>
      </w:r>
      <w:r w:rsidR="007D3917">
        <w:rPr>
          <w:b/>
        </w:rPr>
        <w:t>4</w:t>
      </w:r>
      <w:r w:rsidRPr="00B63945">
        <w:rPr>
          <w:b/>
        </w:rPr>
        <w:t>: The IAB design should support mechanisms for multi-connectivity for topology</w:t>
      </w:r>
      <w:r w:rsidR="007D3917">
        <w:rPr>
          <w:b/>
        </w:rPr>
        <w:t xml:space="preserve"> and route</w:t>
      </w:r>
      <w:r w:rsidRPr="00B63945">
        <w:rPr>
          <w:b/>
        </w:rPr>
        <w:t xml:space="preserve"> management</w:t>
      </w:r>
      <w:r w:rsidR="00137D8A">
        <w:rPr>
          <w:b/>
        </w:rPr>
        <w:t xml:space="preserve">, </w:t>
      </w:r>
      <w:r w:rsidR="00137D8A">
        <w:rPr>
          <w:b/>
        </w:rPr>
        <w:t>leverage existing NR solutions</w:t>
      </w:r>
      <w:r w:rsidR="00137D8A" w:rsidRPr="007D3917">
        <w:rPr>
          <w:b/>
        </w:rPr>
        <w:t xml:space="preserve"> of fast centralized retransmission of pending PDCP PDUs</w:t>
      </w:r>
      <w:r w:rsidRPr="00B63945">
        <w:rPr>
          <w:b/>
        </w:rPr>
        <w:t>.</w:t>
      </w:r>
    </w:p>
    <w:p w14:paraId="70C82586" w14:textId="6A5BE23B" w:rsidR="008D04DC" w:rsidRDefault="007C3145" w:rsidP="008D04DC">
      <w:pPr>
        <w:pStyle w:val="Heading1"/>
      </w:pPr>
      <w:bookmarkStart w:id="3" w:name="_GoBack"/>
      <w:bookmarkEnd w:id="3"/>
      <w:r>
        <w:lastRenderedPageBreak/>
        <w:t>Conclusion</w:t>
      </w:r>
    </w:p>
    <w:p w14:paraId="5D3F33F4" w14:textId="3DF54390"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3F55AE">
        <w:rPr>
          <w:lang w:val="en-GB"/>
        </w:rPr>
        <w:t>requirements and solutions for supporting IAB node discovery</w:t>
      </w:r>
      <w:r w:rsidR="00137D8A">
        <w:rPr>
          <w:lang w:val="en-GB"/>
        </w:rPr>
        <w:t>, network integration, and</w:t>
      </w:r>
      <w:r w:rsidR="003F55AE">
        <w:rPr>
          <w:lang w:val="en-GB"/>
        </w:rPr>
        <w:t xml:space="preserve"> topology management</w:t>
      </w:r>
      <w:r w:rsidR="00B63945">
        <w:rPr>
          <w:lang w:val="en-GB"/>
        </w:rPr>
        <w:t xml:space="preserve">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5DF3EA73" w14:textId="77777777" w:rsidR="00137D8A" w:rsidRPr="00A64511" w:rsidRDefault="00137D8A" w:rsidP="00137D8A">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744AFD1A" w14:textId="77777777" w:rsidR="00137D8A" w:rsidRPr="0031677E" w:rsidRDefault="00137D8A" w:rsidP="00137D8A">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4545199F" w14:textId="77777777" w:rsidR="00137D8A" w:rsidRDefault="00137D8A" w:rsidP="00137D8A">
      <w:pPr>
        <w:jc w:val="both"/>
        <w:rPr>
          <w:b/>
          <w:szCs w:val="22"/>
        </w:rPr>
      </w:pPr>
      <w:r w:rsidRPr="000E1C7E">
        <w:rPr>
          <w:b/>
          <w:szCs w:val="22"/>
        </w:rPr>
        <w:t xml:space="preserve">Proposal </w:t>
      </w:r>
      <w:r>
        <w:rPr>
          <w:b/>
          <w:szCs w:val="22"/>
        </w:rPr>
        <w:t>3</w:t>
      </w:r>
      <w:r w:rsidRPr="000E1C7E">
        <w:rPr>
          <w:b/>
          <w:szCs w:val="22"/>
        </w:rPr>
        <w:t>: For both NSA and SA cases, the IAB node acts as a regular UE during initial connection and establishment and maintains connectivity as a UE in order to perform route switching and reconfiguration using CONNECTED mode UE procedures.</w:t>
      </w:r>
    </w:p>
    <w:p w14:paraId="73105AD6" w14:textId="77777777" w:rsidR="00137D8A" w:rsidRDefault="00137D8A" w:rsidP="00137D8A">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Proposal 4</w:t>
      </w:r>
      <w:r w:rsidRPr="00B63945">
        <w:rPr>
          <w:rFonts w:asciiTheme="minorHAnsi" w:eastAsia="SimSun" w:hAnsiTheme="minorHAnsi"/>
          <w:b/>
          <w:sz w:val="22"/>
          <w:szCs w:val="20"/>
        </w:rPr>
        <w:t>: The IAB design should support mechanisms for multi-connectivity for topology</w:t>
      </w:r>
      <w:r>
        <w:rPr>
          <w:rFonts w:asciiTheme="minorHAnsi" w:eastAsia="SimSun" w:hAnsiTheme="minorHAnsi"/>
          <w:b/>
          <w:sz w:val="22"/>
          <w:szCs w:val="20"/>
        </w:rPr>
        <w:t xml:space="preserve"> and route</w:t>
      </w:r>
      <w:r w:rsidRPr="00B63945">
        <w:rPr>
          <w:rFonts w:asciiTheme="minorHAnsi" w:eastAsia="SimSun" w:hAnsiTheme="minorHAnsi"/>
          <w:b/>
          <w:sz w:val="22"/>
          <w:szCs w:val="20"/>
        </w:rPr>
        <w:t xml:space="preserve"> management</w:t>
      </w:r>
      <w:r>
        <w:rPr>
          <w:rFonts w:asciiTheme="minorHAnsi" w:eastAsia="SimSun" w:hAnsiTheme="minorHAnsi"/>
          <w:b/>
          <w:sz w:val="22"/>
          <w:szCs w:val="20"/>
        </w:rPr>
        <w:t>, leverage existing NR solutions</w:t>
      </w:r>
      <w:r w:rsidRPr="007D3917">
        <w:rPr>
          <w:rFonts w:asciiTheme="minorHAnsi" w:eastAsia="SimSun" w:hAnsiTheme="minorHAnsi"/>
          <w:b/>
          <w:sz w:val="22"/>
          <w:szCs w:val="20"/>
        </w:rPr>
        <w:t xml:space="preserve"> of fast centralized retransmission of pending PDCP PDUs</w:t>
      </w:r>
      <w:r w:rsidRPr="00B63945">
        <w:rPr>
          <w:rFonts w:asciiTheme="minorHAnsi" w:eastAsia="SimSun" w:hAnsiTheme="minorHAnsi"/>
          <w:b/>
          <w:sz w:val="22"/>
          <w:szCs w:val="20"/>
        </w:rPr>
        <w:t>.</w:t>
      </w:r>
    </w:p>
    <w:p w14:paraId="1E9E18E8" w14:textId="77777777" w:rsidR="00291DC2" w:rsidRPr="00723119" w:rsidRDefault="00291DC2"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30141D99" w14:textId="77777777" w:rsidR="007D3917" w:rsidRDefault="007D3917"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FB0D9" w14:textId="77777777" w:rsidR="000D6FE9" w:rsidRDefault="000D6FE9" w:rsidP="00A03DF3">
      <w:pPr>
        <w:spacing w:after="0"/>
      </w:pPr>
      <w:r>
        <w:separator/>
      </w:r>
    </w:p>
  </w:endnote>
  <w:endnote w:type="continuationSeparator" w:id="0">
    <w:p w14:paraId="55C936B1" w14:textId="77777777" w:rsidR="000D6FE9" w:rsidRDefault="000D6FE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872106C"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37D8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7D8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A14A5" w14:textId="77777777" w:rsidR="000D6FE9" w:rsidRDefault="000D6FE9" w:rsidP="00A03DF3">
      <w:pPr>
        <w:spacing w:after="0"/>
      </w:pPr>
      <w:r>
        <w:separator/>
      </w:r>
    </w:p>
  </w:footnote>
  <w:footnote w:type="continuationSeparator" w:id="0">
    <w:p w14:paraId="4BB3BACC" w14:textId="77777777" w:rsidR="000D6FE9" w:rsidRDefault="000D6FE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6FE9"/>
    <w:rsid w:val="000D7B19"/>
    <w:rsid w:val="000E201B"/>
    <w:rsid w:val="000E4677"/>
    <w:rsid w:val="000E7D06"/>
    <w:rsid w:val="000F0E8F"/>
    <w:rsid w:val="000F70D6"/>
    <w:rsid w:val="001001EF"/>
    <w:rsid w:val="001026C3"/>
    <w:rsid w:val="00104F96"/>
    <w:rsid w:val="00105963"/>
    <w:rsid w:val="00107EBD"/>
    <w:rsid w:val="00112BF4"/>
    <w:rsid w:val="00112D15"/>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37D8A"/>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1F778C"/>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C5753"/>
    <w:rsid w:val="002D0E77"/>
    <w:rsid w:val="002D1D49"/>
    <w:rsid w:val="002D566F"/>
    <w:rsid w:val="002D6FB7"/>
    <w:rsid w:val="002E026C"/>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47D5"/>
    <w:rsid w:val="003572C1"/>
    <w:rsid w:val="00363E20"/>
    <w:rsid w:val="0036606A"/>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55A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3163"/>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617B"/>
    <w:rsid w:val="005E6E5E"/>
    <w:rsid w:val="005F2BEE"/>
    <w:rsid w:val="005F352C"/>
    <w:rsid w:val="005F49BE"/>
    <w:rsid w:val="005F78B3"/>
    <w:rsid w:val="00601DF2"/>
    <w:rsid w:val="006126DD"/>
    <w:rsid w:val="00614A69"/>
    <w:rsid w:val="0061677A"/>
    <w:rsid w:val="00616831"/>
    <w:rsid w:val="00616977"/>
    <w:rsid w:val="00620B9B"/>
    <w:rsid w:val="00624938"/>
    <w:rsid w:val="00624F5C"/>
    <w:rsid w:val="0062730F"/>
    <w:rsid w:val="0062773D"/>
    <w:rsid w:val="00633429"/>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4BA1"/>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1C75"/>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3C11"/>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06C3"/>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91B82"/>
    <w:rsid w:val="00D923F2"/>
    <w:rsid w:val="00DA1B9A"/>
    <w:rsid w:val="00DA53F3"/>
    <w:rsid w:val="00DA60BB"/>
    <w:rsid w:val="00DA7B6D"/>
    <w:rsid w:val="00DB32D0"/>
    <w:rsid w:val="00DB7753"/>
    <w:rsid w:val="00DC203E"/>
    <w:rsid w:val="00DC491E"/>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45040"/>
    <w:rsid w:val="00E513A1"/>
    <w:rsid w:val="00E522FE"/>
    <w:rsid w:val="00E543B1"/>
    <w:rsid w:val="00E57FF6"/>
    <w:rsid w:val="00E6533C"/>
    <w:rsid w:val="00E6667E"/>
    <w:rsid w:val="00E70EDB"/>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3C33"/>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3C3"/>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18EC"/>
    <w:rsid w:val="00F62D70"/>
    <w:rsid w:val="00F632AB"/>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89465-18EF-4E1A-8EA3-6B470B82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cp:lastModifiedBy>
  <cp:revision>3</cp:revision>
  <dcterms:created xsi:type="dcterms:W3CDTF">2018-05-11T16:49:00Z</dcterms:created>
  <dcterms:modified xsi:type="dcterms:W3CDTF">2018-05-11T17:30:00Z</dcterms:modified>
</cp:coreProperties>
</file>